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EF2" w:rsidRPr="003F119F" w:rsidRDefault="00C46EF2" w:rsidP="003F119F">
      <w:pPr>
        <w:spacing w:line="480" w:lineRule="auto"/>
        <w:rPr>
          <w:rFonts w:ascii="Times New Roman" w:hAnsi="Times New Roman" w:cs="Times New Roman"/>
          <w:sz w:val="24"/>
          <w:szCs w:val="24"/>
        </w:rPr>
      </w:pPr>
      <w:r w:rsidRPr="003F119F">
        <w:rPr>
          <w:rFonts w:ascii="Times New Roman" w:hAnsi="Times New Roman" w:cs="Times New Roman"/>
          <w:sz w:val="24"/>
          <w:szCs w:val="24"/>
        </w:rPr>
        <w:t>Name</w:t>
      </w:r>
    </w:p>
    <w:p w:rsidR="00C46EF2" w:rsidRPr="003F119F" w:rsidRDefault="00C46EF2" w:rsidP="003F119F">
      <w:pPr>
        <w:spacing w:line="480" w:lineRule="auto"/>
        <w:rPr>
          <w:rFonts w:ascii="Times New Roman" w:hAnsi="Times New Roman" w:cs="Times New Roman"/>
          <w:sz w:val="24"/>
          <w:szCs w:val="24"/>
        </w:rPr>
      </w:pPr>
      <w:r w:rsidRPr="003F119F">
        <w:rPr>
          <w:rFonts w:ascii="Times New Roman" w:hAnsi="Times New Roman" w:cs="Times New Roman"/>
          <w:sz w:val="24"/>
          <w:szCs w:val="24"/>
        </w:rPr>
        <w:t>Course</w:t>
      </w:r>
    </w:p>
    <w:p w:rsidR="00C46EF2" w:rsidRPr="003F119F" w:rsidRDefault="00C46EF2" w:rsidP="003F119F">
      <w:pPr>
        <w:spacing w:line="480" w:lineRule="auto"/>
        <w:rPr>
          <w:rFonts w:ascii="Times New Roman" w:hAnsi="Times New Roman" w:cs="Times New Roman"/>
          <w:sz w:val="24"/>
          <w:szCs w:val="24"/>
        </w:rPr>
      </w:pPr>
      <w:r w:rsidRPr="003F119F">
        <w:rPr>
          <w:rFonts w:ascii="Times New Roman" w:hAnsi="Times New Roman" w:cs="Times New Roman"/>
          <w:sz w:val="24"/>
          <w:szCs w:val="24"/>
        </w:rPr>
        <w:t>Instructor</w:t>
      </w:r>
    </w:p>
    <w:p w:rsidR="00C46EF2" w:rsidRPr="003F119F" w:rsidRDefault="00C46EF2" w:rsidP="003F119F">
      <w:pPr>
        <w:spacing w:line="480" w:lineRule="auto"/>
        <w:rPr>
          <w:rFonts w:ascii="Times New Roman" w:hAnsi="Times New Roman" w:cs="Times New Roman"/>
          <w:sz w:val="24"/>
          <w:szCs w:val="24"/>
        </w:rPr>
      </w:pPr>
      <w:r w:rsidRPr="003F119F">
        <w:rPr>
          <w:rFonts w:ascii="Times New Roman" w:hAnsi="Times New Roman" w:cs="Times New Roman"/>
          <w:sz w:val="24"/>
          <w:szCs w:val="24"/>
        </w:rPr>
        <w:t>Date</w:t>
      </w:r>
    </w:p>
    <w:p w:rsidR="00C46EF2" w:rsidRPr="003F119F" w:rsidRDefault="00EE66C9" w:rsidP="00BD6019">
      <w:pPr>
        <w:pStyle w:val="Heading1"/>
      </w:pPr>
      <w:r w:rsidRPr="003F119F">
        <w:t>‘</w:t>
      </w:r>
      <w:r w:rsidRPr="00BD6019">
        <w:t>Three</w:t>
      </w:r>
      <w:r w:rsidRPr="003F119F">
        <w:t xml:space="preserve"> Ways to Respond’</w:t>
      </w:r>
    </w:p>
    <w:p w:rsidR="007F509A" w:rsidRPr="003F119F" w:rsidRDefault="007F509A" w:rsidP="003F119F">
      <w:pPr>
        <w:spacing w:line="480" w:lineRule="auto"/>
        <w:ind w:firstLine="720"/>
        <w:rPr>
          <w:rFonts w:ascii="Times New Roman" w:hAnsi="Times New Roman" w:cs="Times New Roman"/>
          <w:sz w:val="24"/>
          <w:szCs w:val="24"/>
        </w:rPr>
      </w:pPr>
      <w:r w:rsidRPr="003F119F">
        <w:rPr>
          <w:rFonts w:ascii="Times New Roman" w:hAnsi="Times New Roman" w:cs="Times New Roman"/>
          <w:sz w:val="24"/>
          <w:szCs w:val="24"/>
        </w:rPr>
        <w:t xml:space="preserve">Graff and </w:t>
      </w:r>
      <w:proofErr w:type="spellStart"/>
      <w:r w:rsidRPr="003F119F">
        <w:rPr>
          <w:rFonts w:ascii="Times New Roman" w:hAnsi="Times New Roman" w:cs="Times New Roman"/>
          <w:sz w:val="24"/>
          <w:szCs w:val="24"/>
        </w:rPr>
        <w:t>Birkenstein</w:t>
      </w:r>
      <w:proofErr w:type="spellEnd"/>
      <w:r w:rsidRPr="003F119F">
        <w:rPr>
          <w:rFonts w:ascii="Times New Roman" w:hAnsi="Times New Roman" w:cs="Times New Roman"/>
          <w:sz w:val="24"/>
          <w:szCs w:val="24"/>
        </w:rPr>
        <w:t xml:space="preserve"> raise very fundamental points in chapter four of the “They say, I say” as they analyse the essence of supporting or disapproving arguments with elaborate explanations. </w:t>
      </w:r>
      <w:r w:rsidR="00AD27C1" w:rsidRPr="003F119F">
        <w:rPr>
          <w:rFonts w:ascii="Times New Roman" w:hAnsi="Times New Roman" w:cs="Times New Roman"/>
          <w:sz w:val="24"/>
          <w:szCs w:val="24"/>
        </w:rPr>
        <w:t>The authors claim that there are three ways to respond to other peoples</w:t>
      </w:r>
      <w:r w:rsidR="00E13463" w:rsidRPr="003F119F">
        <w:rPr>
          <w:rFonts w:ascii="Times New Roman" w:hAnsi="Times New Roman" w:cs="Times New Roman"/>
          <w:sz w:val="24"/>
          <w:szCs w:val="24"/>
        </w:rPr>
        <w:t>’</w:t>
      </w:r>
      <w:r w:rsidR="00AD27C1" w:rsidRPr="003F119F">
        <w:rPr>
          <w:rFonts w:ascii="Times New Roman" w:hAnsi="Times New Roman" w:cs="Times New Roman"/>
          <w:sz w:val="24"/>
          <w:szCs w:val="24"/>
        </w:rPr>
        <w:t xml:space="preserve"> arguments and that those ways include providing extensive supporting explanations </w:t>
      </w:r>
      <w:r w:rsidR="00AD27C1" w:rsidRPr="003F119F">
        <w:rPr>
          <w:rFonts w:ascii="Times New Roman" w:hAnsi="Times New Roman" w:cs="Times New Roman"/>
          <w:sz w:val="24"/>
          <w:szCs w:val="24"/>
        </w:rPr>
        <w:t xml:space="preserve">(Graff, et al. </w:t>
      </w:r>
      <w:r w:rsidR="00AD27C1" w:rsidRPr="003F119F">
        <w:rPr>
          <w:rStyle w:val="gray"/>
          <w:rFonts w:ascii="Times New Roman" w:hAnsi="Times New Roman" w:cs="Times New Roman"/>
          <w:sz w:val="24"/>
          <w:szCs w:val="24"/>
        </w:rPr>
        <w:t>54</w:t>
      </w:r>
      <w:r w:rsidR="00AD27C1" w:rsidRPr="003F119F">
        <w:rPr>
          <w:rFonts w:ascii="Times New Roman" w:hAnsi="Times New Roman" w:cs="Times New Roman"/>
          <w:sz w:val="24"/>
          <w:szCs w:val="24"/>
        </w:rPr>
        <w:t>)</w:t>
      </w:r>
      <w:r w:rsidR="00AD27C1" w:rsidRPr="003F119F">
        <w:rPr>
          <w:rFonts w:ascii="Times New Roman" w:hAnsi="Times New Roman" w:cs="Times New Roman"/>
          <w:sz w:val="24"/>
          <w:szCs w:val="24"/>
        </w:rPr>
        <w:t xml:space="preserve">. </w:t>
      </w:r>
      <w:r w:rsidR="003E1D0D" w:rsidRPr="003F119F">
        <w:rPr>
          <w:rFonts w:ascii="Times New Roman" w:hAnsi="Times New Roman" w:cs="Times New Roman"/>
          <w:sz w:val="24"/>
          <w:szCs w:val="24"/>
        </w:rPr>
        <w:t xml:space="preserve">This claim is quite controversial as agreements and disagreements are essential aspects of social interactions and must be given careful consideration for promotion of relations between different individuals. Whereas people may welcome agreements within social interactions, they may not be agreeable to disagreements. The claim that one should always strive to support their reason for agreeing or disagreeing with other parties does not hold as it is impractical within the context of sustaining social relations. </w:t>
      </w:r>
    </w:p>
    <w:p w:rsidR="00BF18E7" w:rsidRPr="003F119F" w:rsidRDefault="00BF18E7" w:rsidP="00BD6019">
      <w:pPr>
        <w:pStyle w:val="Heading1"/>
      </w:pPr>
      <w:r w:rsidRPr="003F119F">
        <w:t>Body</w:t>
      </w:r>
    </w:p>
    <w:p w:rsidR="00C155A1" w:rsidRPr="003F119F" w:rsidRDefault="00194B88" w:rsidP="003F119F">
      <w:pPr>
        <w:spacing w:line="480" w:lineRule="auto"/>
        <w:ind w:firstLine="720"/>
        <w:rPr>
          <w:rFonts w:ascii="Times New Roman" w:hAnsi="Times New Roman" w:cs="Times New Roman"/>
          <w:sz w:val="24"/>
          <w:szCs w:val="24"/>
        </w:rPr>
      </w:pPr>
      <w:r w:rsidRPr="003F119F">
        <w:rPr>
          <w:rFonts w:ascii="Times New Roman" w:hAnsi="Times New Roman" w:cs="Times New Roman"/>
          <w:sz w:val="24"/>
          <w:szCs w:val="24"/>
        </w:rPr>
        <w:t xml:space="preserve">Expecting an individual to effectively support their divergent views with elaborate explanations as postulated by Graff and </w:t>
      </w:r>
      <w:proofErr w:type="spellStart"/>
      <w:r w:rsidRPr="003F119F">
        <w:rPr>
          <w:rFonts w:ascii="Times New Roman" w:hAnsi="Times New Roman" w:cs="Times New Roman"/>
          <w:sz w:val="24"/>
          <w:szCs w:val="24"/>
        </w:rPr>
        <w:t>Birkenstein</w:t>
      </w:r>
      <w:proofErr w:type="spellEnd"/>
      <w:r w:rsidRPr="003F119F">
        <w:rPr>
          <w:rFonts w:ascii="Times New Roman" w:hAnsi="Times New Roman" w:cs="Times New Roman"/>
          <w:sz w:val="24"/>
          <w:szCs w:val="24"/>
        </w:rPr>
        <w:t xml:space="preserve"> may not be practical, therefore, and may sometimes lead to disharmony within social interactions. </w:t>
      </w:r>
      <w:r w:rsidR="00BF18E7" w:rsidRPr="003F119F">
        <w:rPr>
          <w:rFonts w:ascii="Times New Roman" w:hAnsi="Times New Roman" w:cs="Times New Roman"/>
          <w:sz w:val="24"/>
          <w:szCs w:val="24"/>
        </w:rPr>
        <w:t>Arguments take place within a social setting and that must be respected</w:t>
      </w:r>
      <w:r w:rsidR="0065263D" w:rsidRPr="003F119F">
        <w:rPr>
          <w:rFonts w:ascii="Times New Roman" w:hAnsi="Times New Roman" w:cs="Times New Roman"/>
          <w:sz w:val="24"/>
          <w:szCs w:val="24"/>
        </w:rPr>
        <w:t xml:space="preserve"> </w:t>
      </w:r>
      <w:r w:rsidR="0065263D" w:rsidRPr="003F119F">
        <w:rPr>
          <w:rFonts w:ascii="Times New Roman" w:hAnsi="Times New Roman" w:cs="Times New Roman"/>
          <w:sz w:val="24"/>
          <w:szCs w:val="24"/>
        </w:rPr>
        <w:t>(</w:t>
      </w:r>
      <w:proofErr w:type="spellStart"/>
      <w:r w:rsidR="0065263D" w:rsidRPr="003F119F">
        <w:rPr>
          <w:rFonts w:ascii="Times New Roman" w:hAnsi="Times New Roman" w:cs="Times New Roman"/>
          <w:sz w:val="24"/>
          <w:szCs w:val="24"/>
        </w:rPr>
        <w:t>Bornmüller</w:t>
      </w:r>
      <w:proofErr w:type="spellEnd"/>
      <w:r w:rsidR="0065263D" w:rsidRPr="003F119F">
        <w:rPr>
          <w:rFonts w:ascii="Times New Roman" w:hAnsi="Times New Roman" w:cs="Times New Roman"/>
          <w:sz w:val="24"/>
          <w:szCs w:val="24"/>
        </w:rPr>
        <w:t xml:space="preserve"> and </w:t>
      </w:r>
      <w:proofErr w:type="spellStart"/>
      <w:r w:rsidR="0065263D" w:rsidRPr="003F119F">
        <w:rPr>
          <w:rFonts w:ascii="Times New Roman" w:hAnsi="Times New Roman" w:cs="Times New Roman"/>
          <w:sz w:val="24"/>
          <w:szCs w:val="24"/>
        </w:rPr>
        <w:t>Lessau</w:t>
      </w:r>
      <w:proofErr w:type="spellEnd"/>
      <w:r w:rsidR="0065263D" w:rsidRPr="003F119F">
        <w:rPr>
          <w:rFonts w:ascii="Times New Roman" w:hAnsi="Times New Roman" w:cs="Times New Roman"/>
          <w:sz w:val="24"/>
          <w:szCs w:val="24"/>
        </w:rPr>
        <w:t xml:space="preserve"> </w:t>
      </w:r>
      <w:r w:rsidR="0065263D" w:rsidRPr="003F119F">
        <w:rPr>
          <w:rStyle w:val="gray"/>
          <w:rFonts w:ascii="Times New Roman" w:hAnsi="Times New Roman" w:cs="Times New Roman"/>
          <w:sz w:val="24"/>
          <w:szCs w:val="24"/>
        </w:rPr>
        <w:t>6</w:t>
      </w:r>
      <w:r w:rsidR="0065263D" w:rsidRPr="003F119F">
        <w:rPr>
          <w:rFonts w:ascii="Times New Roman" w:hAnsi="Times New Roman" w:cs="Times New Roman"/>
          <w:sz w:val="24"/>
          <w:szCs w:val="24"/>
        </w:rPr>
        <w:t>)</w:t>
      </w:r>
      <w:r w:rsidR="00BF18E7" w:rsidRPr="003F119F">
        <w:rPr>
          <w:rFonts w:ascii="Times New Roman" w:hAnsi="Times New Roman" w:cs="Times New Roman"/>
          <w:sz w:val="24"/>
          <w:szCs w:val="24"/>
        </w:rPr>
        <w:t>.</w:t>
      </w:r>
      <w:r w:rsidR="00BF18E7" w:rsidRPr="003F119F">
        <w:rPr>
          <w:rFonts w:ascii="Times New Roman" w:hAnsi="Times New Roman" w:cs="Times New Roman"/>
          <w:sz w:val="24"/>
          <w:szCs w:val="24"/>
        </w:rPr>
        <w:t xml:space="preserve"> </w:t>
      </w:r>
      <w:r w:rsidR="003E1D0D" w:rsidRPr="003F119F">
        <w:rPr>
          <w:rFonts w:ascii="Times New Roman" w:hAnsi="Times New Roman" w:cs="Times New Roman"/>
          <w:sz w:val="24"/>
          <w:szCs w:val="24"/>
        </w:rPr>
        <w:t xml:space="preserve">People can easily agree or disagree with sentiments given by other people and leave it at that within social contexts. There is no compelling reason why individuals must voice their support for a given idea or standpoint with emphasis if they are confident with their position. On the contrary, it should </w:t>
      </w:r>
      <w:r w:rsidR="003E1D0D" w:rsidRPr="003F119F">
        <w:rPr>
          <w:rFonts w:ascii="Times New Roman" w:hAnsi="Times New Roman" w:cs="Times New Roman"/>
          <w:sz w:val="24"/>
          <w:szCs w:val="24"/>
        </w:rPr>
        <w:lastRenderedPageBreak/>
        <w:t xml:space="preserve">be incumbent on the other party to seek to know more on why an individual may agree or disagree with a certain idea in the spirit of seeking </w:t>
      </w:r>
      <w:r w:rsidR="002638AE" w:rsidRPr="003F119F">
        <w:rPr>
          <w:rFonts w:ascii="Times New Roman" w:hAnsi="Times New Roman" w:cs="Times New Roman"/>
          <w:sz w:val="24"/>
          <w:szCs w:val="24"/>
        </w:rPr>
        <w:t xml:space="preserve">creating harmony and seeking </w:t>
      </w:r>
      <w:r w:rsidR="003E1D0D" w:rsidRPr="003F119F">
        <w:rPr>
          <w:rFonts w:ascii="Times New Roman" w:hAnsi="Times New Roman" w:cs="Times New Roman"/>
          <w:sz w:val="24"/>
          <w:szCs w:val="24"/>
        </w:rPr>
        <w:t xml:space="preserve">consensus. </w:t>
      </w:r>
    </w:p>
    <w:p w:rsidR="00C155A1" w:rsidRPr="003F119F" w:rsidRDefault="00C155A1" w:rsidP="00BD6019">
      <w:pPr>
        <w:pStyle w:val="Heading1"/>
      </w:pPr>
      <w:r w:rsidRPr="003F119F">
        <w:t>Conclusion</w:t>
      </w:r>
    </w:p>
    <w:p w:rsidR="003E1D0D" w:rsidRDefault="00C155A1" w:rsidP="003F119F">
      <w:pPr>
        <w:spacing w:line="480" w:lineRule="auto"/>
        <w:ind w:firstLine="720"/>
        <w:rPr>
          <w:rFonts w:ascii="Times New Roman" w:hAnsi="Times New Roman" w:cs="Times New Roman"/>
          <w:sz w:val="24"/>
          <w:szCs w:val="24"/>
        </w:rPr>
      </w:pPr>
      <w:r w:rsidRPr="003F119F">
        <w:rPr>
          <w:rFonts w:ascii="Times New Roman" w:hAnsi="Times New Roman" w:cs="Times New Roman"/>
          <w:sz w:val="24"/>
          <w:szCs w:val="24"/>
        </w:rPr>
        <w:t xml:space="preserve">In conclusion, the importance of sustaining arguments to convey meaning cannot be overstated. But the fact that arguments take place in social context must always be respected. </w:t>
      </w:r>
      <w:r w:rsidR="002638AE" w:rsidRPr="003F119F">
        <w:rPr>
          <w:rFonts w:ascii="Times New Roman" w:hAnsi="Times New Roman" w:cs="Times New Roman"/>
          <w:sz w:val="24"/>
          <w:szCs w:val="24"/>
        </w:rPr>
        <w:t xml:space="preserve">Structuring sentences or arranging a sequence of statements to support one’s reasons for agreeing or disagreeing with ideas becomes useless, therefore, for the simple reason that individuals are liberal entities that make judgements predicated on several functions and not just the fact that one individual has an argument. People must be left to make their authentic positions known to others, therefore, but must not feel compelled to provide supporting explanations. </w:t>
      </w:r>
    </w:p>
    <w:p w:rsidR="00BD6019" w:rsidRDefault="00BD6019" w:rsidP="003F119F">
      <w:pPr>
        <w:spacing w:line="480" w:lineRule="auto"/>
        <w:ind w:firstLine="720"/>
        <w:rPr>
          <w:rFonts w:ascii="Times New Roman" w:hAnsi="Times New Roman" w:cs="Times New Roman"/>
          <w:sz w:val="24"/>
          <w:szCs w:val="24"/>
        </w:rPr>
      </w:pPr>
    </w:p>
    <w:p w:rsidR="00BD6019" w:rsidRDefault="00BD6019" w:rsidP="003F119F">
      <w:pPr>
        <w:spacing w:line="480" w:lineRule="auto"/>
        <w:ind w:firstLine="720"/>
        <w:rPr>
          <w:rFonts w:ascii="Times New Roman" w:hAnsi="Times New Roman" w:cs="Times New Roman"/>
          <w:sz w:val="24"/>
          <w:szCs w:val="24"/>
        </w:rPr>
      </w:pPr>
    </w:p>
    <w:p w:rsidR="00BD6019" w:rsidRDefault="00BD6019" w:rsidP="003F119F">
      <w:pPr>
        <w:spacing w:line="480" w:lineRule="auto"/>
        <w:ind w:firstLine="720"/>
        <w:rPr>
          <w:rFonts w:ascii="Times New Roman" w:hAnsi="Times New Roman" w:cs="Times New Roman"/>
          <w:sz w:val="24"/>
          <w:szCs w:val="24"/>
        </w:rPr>
      </w:pPr>
    </w:p>
    <w:p w:rsidR="00BD6019" w:rsidRDefault="00BD6019" w:rsidP="003F119F">
      <w:pPr>
        <w:spacing w:line="480" w:lineRule="auto"/>
        <w:ind w:firstLine="720"/>
        <w:rPr>
          <w:rFonts w:ascii="Times New Roman" w:hAnsi="Times New Roman" w:cs="Times New Roman"/>
          <w:sz w:val="24"/>
          <w:szCs w:val="24"/>
        </w:rPr>
      </w:pPr>
    </w:p>
    <w:p w:rsidR="00BD6019" w:rsidRDefault="00BD6019" w:rsidP="003F119F">
      <w:pPr>
        <w:spacing w:line="480" w:lineRule="auto"/>
        <w:ind w:firstLine="720"/>
        <w:rPr>
          <w:rFonts w:ascii="Times New Roman" w:hAnsi="Times New Roman" w:cs="Times New Roman"/>
          <w:sz w:val="24"/>
          <w:szCs w:val="24"/>
        </w:rPr>
      </w:pPr>
    </w:p>
    <w:p w:rsidR="00BD6019" w:rsidRDefault="00BD6019" w:rsidP="003F119F">
      <w:pPr>
        <w:spacing w:line="480" w:lineRule="auto"/>
        <w:ind w:firstLine="720"/>
        <w:rPr>
          <w:rFonts w:ascii="Times New Roman" w:hAnsi="Times New Roman" w:cs="Times New Roman"/>
          <w:sz w:val="24"/>
          <w:szCs w:val="24"/>
        </w:rPr>
      </w:pPr>
    </w:p>
    <w:p w:rsidR="00BD6019" w:rsidRDefault="00BD6019" w:rsidP="003F119F">
      <w:pPr>
        <w:spacing w:line="480" w:lineRule="auto"/>
        <w:ind w:firstLine="720"/>
        <w:rPr>
          <w:rFonts w:ascii="Times New Roman" w:hAnsi="Times New Roman" w:cs="Times New Roman"/>
          <w:sz w:val="24"/>
          <w:szCs w:val="24"/>
        </w:rPr>
      </w:pPr>
    </w:p>
    <w:p w:rsidR="00BD6019" w:rsidRDefault="00BD6019" w:rsidP="003F119F">
      <w:pPr>
        <w:spacing w:line="480" w:lineRule="auto"/>
        <w:ind w:firstLine="720"/>
        <w:rPr>
          <w:rFonts w:ascii="Times New Roman" w:hAnsi="Times New Roman" w:cs="Times New Roman"/>
          <w:sz w:val="24"/>
          <w:szCs w:val="24"/>
        </w:rPr>
      </w:pPr>
    </w:p>
    <w:p w:rsidR="00BD6019" w:rsidRDefault="00BD6019" w:rsidP="003F119F">
      <w:pPr>
        <w:spacing w:line="480" w:lineRule="auto"/>
        <w:ind w:firstLine="720"/>
        <w:rPr>
          <w:rFonts w:ascii="Times New Roman" w:hAnsi="Times New Roman" w:cs="Times New Roman"/>
          <w:sz w:val="24"/>
          <w:szCs w:val="24"/>
        </w:rPr>
      </w:pPr>
    </w:p>
    <w:p w:rsidR="00BD6019" w:rsidRDefault="00BD6019" w:rsidP="003F119F">
      <w:pPr>
        <w:spacing w:line="480" w:lineRule="auto"/>
        <w:ind w:firstLine="720"/>
        <w:rPr>
          <w:rFonts w:ascii="Times New Roman" w:hAnsi="Times New Roman" w:cs="Times New Roman"/>
          <w:sz w:val="24"/>
          <w:szCs w:val="24"/>
        </w:rPr>
      </w:pPr>
    </w:p>
    <w:p w:rsidR="00BD6019" w:rsidRDefault="00BD6019" w:rsidP="003F119F">
      <w:pPr>
        <w:spacing w:line="480" w:lineRule="auto"/>
        <w:ind w:firstLine="720"/>
        <w:rPr>
          <w:rFonts w:ascii="Times New Roman" w:hAnsi="Times New Roman" w:cs="Times New Roman"/>
          <w:sz w:val="24"/>
          <w:szCs w:val="24"/>
        </w:rPr>
      </w:pPr>
    </w:p>
    <w:p w:rsidR="00BD6019" w:rsidRPr="00BD6019" w:rsidRDefault="00BD6019" w:rsidP="00BD6019">
      <w:pPr>
        <w:pStyle w:val="Heading1"/>
        <w:rPr>
          <w:lang w:eastAsia="en-GB"/>
        </w:rPr>
      </w:pPr>
      <w:r w:rsidRPr="00BD6019">
        <w:rPr>
          <w:lang w:eastAsia="en-GB"/>
        </w:rPr>
        <w:lastRenderedPageBreak/>
        <w:t>Wo</w:t>
      </w:r>
      <w:bookmarkStart w:id="0" w:name="_GoBack"/>
      <w:bookmarkEnd w:id="0"/>
      <w:r w:rsidRPr="00BD6019">
        <w:rPr>
          <w:lang w:eastAsia="en-GB"/>
        </w:rPr>
        <w:t>rks Cited</w:t>
      </w:r>
    </w:p>
    <w:p w:rsidR="00BD6019" w:rsidRPr="00BD6019" w:rsidRDefault="00BD6019" w:rsidP="00BD6019">
      <w:pPr>
        <w:spacing w:after="0" w:line="550" w:lineRule="atLeast"/>
        <w:ind w:left="720" w:right="375" w:hanging="720"/>
        <w:rPr>
          <w:rFonts w:ascii="Times New Roman" w:eastAsia="Times New Roman" w:hAnsi="Times New Roman" w:cs="Times New Roman"/>
          <w:sz w:val="24"/>
          <w:szCs w:val="24"/>
          <w:lang w:eastAsia="en-GB"/>
        </w:rPr>
      </w:pPr>
      <w:proofErr w:type="spellStart"/>
      <w:r w:rsidRPr="00BD6019">
        <w:rPr>
          <w:rFonts w:ascii="Times New Roman" w:eastAsia="Times New Roman" w:hAnsi="Times New Roman" w:cs="Times New Roman"/>
          <w:sz w:val="24"/>
          <w:szCs w:val="24"/>
          <w:lang w:eastAsia="en-GB"/>
        </w:rPr>
        <w:t>Bornmüller</w:t>
      </w:r>
      <w:proofErr w:type="spellEnd"/>
      <w:r w:rsidRPr="00BD6019">
        <w:rPr>
          <w:rFonts w:ascii="Times New Roman" w:eastAsia="Times New Roman" w:hAnsi="Times New Roman" w:cs="Times New Roman"/>
          <w:sz w:val="24"/>
          <w:szCs w:val="24"/>
          <w:lang w:eastAsia="en-GB"/>
        </w:rPr>
        <w:t xml:space="preserve">, Falk, and Mathis </w:t>
      </w:r>
      <w:proofErr w:type="spellStart"/>
      <w:r w:rsidRPr="00BD6019">
        <w:rPr>
          <w:rFonts w:ascii="Times New Roman" w:eastAsia="Times New Roman" w:hAnsi="Times New Roman" w:cs="Times New Roman"/>
          <w:sz w:val="24"/>
          <w:szCs w:val="24"/>
          <w:lang w:eastAsia="en-GB"/>
        </w:rPr>
        <w:t>Lessau</w:t>
      </w:r>
      <w:proofErr w:type="spellEnd"/>
      <w:r w:rsidRPr="00BD6019">
        <w:rPr>
          <w:rFonts w:ascii="Times New Roman" w:eastAsia="Times New Roman" w:hAnsi="Times New Roman" w:cs="Times New Roman"/>
          <w:sz w:val="24"/>
          <w:szCs w:val="24"/>
          <w:lang w:eastAsia="en-GB"/>
        </w:rPr>
        <w:t xml:space="preserve">. "Are Thought-Experiments Always Arguments and Does Literature Literally Re-present?" </w:t>
      </w:r>
      <w:r w:rsidRPr="00BD6019">
        <w:rPr>
          <w:rFonts w:ascii="Times New Roman" w:eastAsia="Times New Roman" w:hAnsi="Times New Roman" w:cs="Times New Roman"/>
          <w:i/>
          <w:iCs/>
          <w:sz w:val="24"/>
          <w:szCs w:val="24"/>
          <w:lang w:eastAsia="en-GB"/>
        </w:rPr>
        <w:t xml:space="preserve">Literature as Thought </w:t>
      </w:r>
      <w:proofErr w:type="gramStart"/>
      <w:r w:rsidRPr="00BD6019">
        <w:rPr>
          <w:rFonts w:ascii="Times New Roman" w:eastAsia="Times New Roman" w:hAnsi="Times New Roman" w:cs="Times New Roman"/>
          <w:i/>
          <w:iCs/>
          <w:sz w:val="24"/>
          <w:szCs w:val="24"/>
          <w:lang w:eastAsia="en-GB"/>
        </w:rPr>
        <w:t>Experiment?</w:t>
      </w:r>
      <w:r w:rsidRPr="00BD6019">
        <w:rPr>
          <w:rFonts w:ascii="Times New Roman" w:eastAsia="Times New Roman" w:hAnsi="Times New Roman" w:cs="Times New Roman"/>
          <w:sz w:val="24"/>
          <w:szCs w:val="24"/>
          <w:lang w:eastAsia="en-GB"/>
        </w:rPr>
        <w:t>,</w:t>
      </w:r>
      <w:proofErr w:type="gramEnd"/>
      <w:r w:rsidRPr="00BD6019">
        <w:rPr>
          <w:rFonts w:ascii="Times New Roman" w:eastAsia="Times New Roman" w:hAnsi="Times New Roman" w:cs="Times New Roman"/>
          <w:sz w:val="24"/>
          <w:szCs w:val="24"/>
          <w:lang w:eastAsia="en-GB"/>
        </w:rPr>
        <w:t xml:space="preserve"> 2019. </w:t>
      </w:r>
    </w:p>
    <w:p w:rsidR="00BD6019" w:rsidRPr="00BD6019" w:rsidRDefault="00BD6019" w:rsidP="00BD6019">
      <w:pPr>
        <w:spacing w:after="0" w:line="550" w:lineRule="atLeast"/>
        <w:ind w:left="720" w:right="375" w:hanging="720"/>
        <w:rPr>
          <w:rFonts w:ascii="Times New Roman" w:eastAsia="Times New Roman" w:hAnsi="Times New Roman" w:cs="Times New Roman"/>
          <w:sz w:val="24"/>
          <w:szCs w:val="24"/>
          <w:lang w:eastAsia="en-GB"/>
        </w:rPr>
      </w:pPr>
      <w:r w:rsidRPr="00BD6019">
        <w:rPr>
          <w:rFonts w:ascii="Times New Roman" w:eastAsia="Times New Roman" w:hAnsi="Times New Roman" w:cs="Times New Roman"/>
          <w:sz w:val="24"/>
          <w:szCs w:val="24"/>
          <w:lang w:eastAsia="en-GB"/>
        </w:rPr>
        <w:t xml:space="preserve">Graff, G., et al. </w:t>
      </w:r>
      <w:r w:rsidRPr="00BD6019">
        <w:rPr>
          <w:rFonts w:ascii="Times New Roman" w:eastAsia="Times New Roman" w:hAnsi="Times New Roman" w:cs="Times New Roman"/>
          <w:i/>
          <w:iCs/>
          <w:sz w:val="24"/>
          <w:szCs w:val="24"/>
          <w:lang w:eastAsia="en-GB"/>
        </w:rPr>
        <w:t xml:space="preserve">"They say/I say": The moves that matter in academic </w:t>
      </w:r>
      <w:proofErr w:type="gramStart"/>
      <w:r w:rsidRPr="00BD6019">
        <w:rPr>
          <w:rFonts w:ascii="Times New Roman" w:eastAsia="Times New Roman" w:hAnsi="Times New Roman" w:cs="Times New Roman"/>
          <w:i/>
          <w:iCs/>
          <w:sz w:val="24"/>
          <w:szCs w:val="24"/>
          <w:lang w:eastAsia="en-GB"/>
        </w:rPr>
        <w:t>writing :</w:t>
      </w:r>
      <w:proofErr w:type="gramEnd"/>
      <w:r w:rsidRPr="00BD6019">
        <w:rPr>
          <w:rFonts w:ascii="Times New Roman" w:eastAsia="Times New Roman" w:hAnsi="Times New Roman" w:cs="Times New Roman"/>
          <w:i/>
          <w:iCs/>
          <w:sz w:val="24"/>
          <w:szCs w:val="24"/>
          <w:lang w:eastAsia="en-GB"/>
        </w:rPr>
        <w:t xml:space="preserve"> with readings</w:t>
      </w:r>
      <w:r w:rsidRPr="00BD6019">
        <w:rPr>
          <w:rFonts w:ascii="Times New Roman" w:eastAsia="Times New Roman" w:hAnsi="Times New Roman" w:cs="Times New Roman"/>
          <w:sz w:val="24"/>
          <w:szCs w:val="24"/>
          <w:lang w:eastAsia="en-GB"/>
        </w:rPr>
        <w:t xml:space="preserve">. W. W. Norton, 2009. </w:t>
      </w:r>
    </w:p>
    <w:p w:rsidR="00BD6019" w:rsidRPr="003F119F" w:rsidRDefault="00BD6019" w:rsidP="003F119F">
      <w:pPr>
        <w:spacing w:line="480" w:lineRule="auto"/>
        <w:ind w:firstLine="720"/>
        <w:rPr>
          <w:rFonts w:ascii="Times New Roman" w:hAnsi="Times New Roman" w:cs="Times New Roman"/>
          <w:sz w:val="24"/>
          <w:szCs w:val="24"/>
        </w:rPr>
      </w:pPr>
    </w:p>
    <w:p w:rsidR="00C02992" w:rsidRPr="003F119F" w:rsidRDefault="00C02992" w:rsidP="003F119F">
      <w:pPr>
        <w:spacing w:line="480" w:lineRule="auto"/>
        <w:rPr>
          <w:rFonts w:ascii="Times New Roman" w:hAnsi="Times New Roman" w:cs="Times New Roman"/>
          <w:sz w:val="24"/>
          <w:szCs w:val="24"/>
        </w:rPr>
      </w:pPr>
    </w:p>
    <w:sectPr w:rsidR="00C02992" w:rsidRPr="003F119F">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690" w:rsidRDefault="000A4690" w:rsidP="000A4690">
      <w:pPr>
        <w:spacing w:after="0" w:line="240" w:lineRule="auto"/>
      </w:pPr>
      <w:r>
        <w:separator/>
      </w:r>
    </w:p>
  </w:endnote>
  <w:endnote w:type="continuationSeparator" w:id="0">
    <w:p w:rsidR="000A4690" w:rsidRDefault="000A4690" w:rsidP="000A4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690" w:rsidRDefault="000A4690" w:rsidP="000A4690">
      <w:pPr>
        <w:spacing w:after="0" w:line="240" w:lineRule="auto"/>
      </w:pPr>
      <w:r>
        <w:separator/>
      </w:r>
    </w:p>
  </w:footnote>
  <w:footnote w:type="continuationSeparator" w:id="0">
    <w:p w:rsidR="000A4690" w:rsidRDefault="000A4690" w:rsidP="000A46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86454380"/>
      <w:docPartObj>
        <w:docPartGallery w:val="Page Numbers (Top of Page)"/>
        <w:docPartUnique/>
      </w:docPartObj>
    </w:sdtPr>
    <w:sdtEndPr>
      <w:rPr>
        <w:noProof/>
      </w:rPr>
    </w:sdtEndPr>
    <w:sdtContent>
      <w:p w:rsidR="000A4690" w:rsidRPr="000A4690" w:rsidRDefault="000A4690">
        <w:pPr>
          <w:pStyle w:val="Header"/>
          <w:jc w:val="right"/>
          <w:rPr>
            <w:rFonts w:ascii="Times New Roman" w:hAnsi="Times New Roman" w:cs="Times New Roman"/>
            <w:sz w:val="24"/>
            <w:szCs w:val="24"/>
          </w:rPr>
        </w:pPr>
        <w:r w:rsidRPr="000A4690">
          <w:rPr>
            <w:rFonts w:ascii="Times New Roman" w:hAnsi="Times New Roman" w:cs="Times New Roman"/>
            <w:sz w:val="24"/>
            <w:szCs w:val="24"/>
          </w:rPr>
          <w:t xml:space="preserve">Surname </w:t>
        </w:r>
        <w:r w:rsidRPr="000A4690">
          <w:rPr>
            <w:rFonts w:ascii="Times New Roman" w:hAnsi="Times New Roman" w:cs="Times New Roman"/>
            <w:sz w:val="24"/>
            <w:szCs w:val="24"/>
          </w:rPr>
          <w:fldChar w:fldCharType="begin"/>
        </w:r>
        <w:r w:rsidRPr="000A4690">
          <w:rPr>
            <w:rFonts w:ascii="Times New Roman" w:hAnsi="Times New Roman" w:cs="Times New Roman"/>
            <w:sz w:val="24"/>
            <w:szCs w:val="24"/>
          </w:rPr>
          <w:instrText xml:space="preserve"> PAGE   \* MERGEFORMAT </w:instrText>
        </w:r>
        <w:r w:rsidRPr="000A4690">
          <w:rPr>
            <w:rFonts w:ascii="Times New Roman" w:hAnsi="Times New Roman" w:cs="Times New Roman"/>
            <w:sz w:val="24"/>
            <w:szCs w:val="24"/>
          </w:rPr>
          <w:fldChar w:fldCharType="separate"/>
        </w:r>
        <w:r w:rsidR="00BD6019">
          <w:rPr>
            <w:rFonts w:ascii="Times New Roman" w:hAnsi="Times New Roman" w:cs="Times New Roman"/>
            <w:noProof/>
            <w:sz w:val="24"/>
            <w:szCs w:val="24"/>
          </w:rPr>
          <w:t>3</w:t>
        </w:r>
        <w:r w:rsidRPr="000A4690">
          <w:rPr>
            <w:rFonts w:ascii="Times New Roman" w:hAnsi="Times New Roman" w:cs="Times New Roman"/>
            <w:noProof/>
            <w:sz w:val="24"/>
            <w:szCs w:val="24"/>
          </w:rPr>
          <w:fldChar w:fldCharType="end"/>
        </w:r>
      </w:p>
    </w:sdtContent>
  </w:sdt>
  <w:p w:rsidR="000A4690" w:rsidRPr="000A4690" w:rsidRDefault="000A469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C0F"/>
    <w:rsid w:val="000A4690"/>
    <w:rsid w:val="00194B88"/>
    <w:rsid w:val="002638AE"/>
    <w:rsid w:val="003E1D0D"/>
    <w:rsid w:val="003F119F"/>
    <w:rsid w:val="00501C3E"/>
    <w:rsid w:val="0065263D"/>
    <w:rsid w:val="007F509A"/>
    <w:rsid w:val="00AD27C1"/>
    <w:rsid w:val="00BD6019"/>
    <w:rsid w:val="00BF18E7"/>
    <w:rsid w:val="00C02992"/>
    <w:rsid w:val="00C155A1"/>
    <w:rsid w:val="00C46EF2"/>
    <w:rsid w:val="00C62C0F"/>
    <w:rsid w:val="00E13463"/>
    <w:rsid w:val="00EE66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C275F"/>
  <w15:chartTrackingRefBased/>
  <w15:docId w15:val="{FB45C3C0-3D2D-4495-929E-7E88F125D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D6019"/>
    <w:pPr>
      <w:spacing w:line="480" w:lineRule="auto"/>
      <w:jc w:val="center"/>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6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4690"/>
  </w:style>
  <w:style w:type="paragraph" w:styleId="Footer">
    <w:name w:val="footer"/>
    <w:basedOn w:val="Normal"/>
    <w:link w:val="FooterChar"/>
    <w:uiPriority w:val="99"/>
    <w:unhideWhenUsed/>
    <w:rsid w:val="000A46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4690"/>
  </w:style>
  <w:style w:type="character" w:customStyle="1" w:styleId="gray">
    <w:name w:val="gray"/>
    <w:basedOn w:val="DefaultParagraphFont"/>
    <w:rsid w:val="00AD27C1"/>
  </w:style>
  <w:style w:type="character" w:customStyle="1" w:styleId="Heading1Char">
    <w:name w:val="Heading 1 Char"/>
    <w:basedOn w:val="DefaultParagraphFont"/>
    <w:link w:val="Heading1"/>
    <w:uiPriority w:val="9"/>
    <w:rsid w:val="00BD6019"/>
    <w:rPr>
      <w:rFonts w:ascii="Times New Roman" w:hAnsi="Times New Roman" w:cs="Times New Roman"/>
      <w:b/>
      <w:sz w:val="24"/>
      <w:szCs w:val="24"/>
    </w:rPr>
  </w:style>
  <w:style w:type="paragraph" w:styleId="NormalWeb">
    <w:name w:val="Normal (Web)"/>
    <w:basedOn w:val="Normal"/>
    <w:uiPriority w:val="99"/>
    <w:semiHidden/>
    <w:unhideWhenUsed/>
    <w:rsid w:val="00BD60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D60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681959">
      <w:bodyDiv w:val="1"/>
      <w:marLeft w:val="0"/>
      <w:marRight w:val="0"/>
      <w:marTop w:val="0"/>
      <w:marBottom w:val="0"/>
      <w:divBdr>
        <w:top w:val="none" w:sz="0" w:space="0" w:color="auto"/>
        <w:left w:val="none" w:sz="0" w:space="0" w:color="auto"/>
        <w:bottom w:val="none" w:sz="0" w:space="0" w:color="auto"/>
        <w:right w:val="none" w:sz="0" w:space="0" w:color="auto"/>
      </w:divBdr>
      <w:divsChild>
        <w:div w:id="1973562359">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406</Words>
  <Characters>2317</Characters>
  <Application>Microsoft Office Word</Application>
  <DocSecurity>0</DocSecurity>
  <Lines>19</Lines>
  <Paragraphs>5</Paragraphs>
  <ScaleCrop>false</ScaleCrop>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cardimore avwonda</dc:creator>
  <cp:keywords/>
  <dc:description/>
  <cp:lastModifiedBy>cardimore avwonda</cp:lastModifiedBy>
  <cp:revision>16</cp:revision>
  <dcterms:created xsi:type="dcterms:W3CDTF">2020-03-31T22:41:00Z</dcterms:created>
  <dcterms:modified xsi:type="dcterms:W3CDTF">2020-03-31T23:11:00Z</dcterms:modified>
</cp:coreProperties>
</file>